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宋体" w:hAnsi="宋体" w:eastAsia="宋体" w:cs="宋体"/>
          <w:b/>
          <w:bCs/>
          <w:kern w:val="0"/>
          <w:sz w:val="44"/>
          <w:szCs w:val="44"/>
          <w:lang w:val="en-US" w:eastAsia="zh-CN"/>
        </w:rPr>
      </w:pPr>
    </w:p>
    <w:p>
      <w:pPr>
        <w:spacing w:line="560" w:lineRule="exact"/>
        <w:jc w:val="center"/>
        <w:rPr>
          <w:rFonts w:hint="eastAsia" w:ascii="宋体" w:hAnsi="宋体" w:eastAsia="宋体" w:cs="宋体"/>
          <w:b/>
          <w:bCs/>
          <w:kern w:val="0"/>
          <w:sz w:val="44"/>
          <w:szCs w:val="44"/>
        </w:rPr>
      </w:pPr>
      <w:r>
        <w:rPr>
          <w:rFonts w:hint="eastAsia" w:ascii="宋体" w:hAnsi="宋体" w:eastAsia="宋体" w:cs="宋体"/>
          <w:b/>
          <w:bCs/>
          <w:kern w:val="0"/>
          <w:sz w:val="44"/>
          <w:szCs w:val="44"/>
          <w:lang w:val="en-US" w:eastAsia="zh-CN"/>
        </w:rPr>
        <w:t>20.</w:t>
      </w:r>
      <w:r>
        <w:rPr>
          <w:rFonts w:hint="eastAsia" w:ascii="宋体" w:hAnsi="宋体" w:eastAsia="宋体" w:cs="宋体"/>
          <w:b/>
          <w:bCs/>
          <w:kern w:val="0"/>
          <w:sz w:val="44"/>
          <w:szCs w:val="44"/>
        </w:rPr>
        <w:t>城镇污水处理费征收事中事后监管细则</w:t>
      </w:r>
    </w:p>
    <w:p>
      <w:pPr>
        <w:autoSpaceDE w:val="0"/>
        <w:autoSpaceDN w:val="0"/>
        <w:adjustRightInd w:val="0"/>
        <w:spacing w:line="560" w:lineRule="exact"/>
        <w:rPr>
          <w:rFonts w:ascii="仿宋_GB2312" w:hAnsi="仿宋" w:cs="仿宋_GB2312"/>
          <w:color w:val="FF0000"/>
          <w:kern w:val="0"/>
          <w:sz w:val="36"/>
          <w:szCs w:val="36"/>
        </w:rPr>
      </w:pPr>
    </w:p>
    <w:p>
      <w:pPr>
        <w:autoSpaceDE w:val="0"/>
        <w:autoSpaceDN w:val="0"/>
        <w:adjustRightInd w:val="0"/>
        <w:spacing w:line="560" w:lineRule="exact"/>
        <w:ind w:firstLine="640" w:firstLineChars="200"/>
        <w:rPr>
          <w:rFonts w:hint="eastAsia" w:ascii="仿宋" w:hAnsi="仿宋" w:eastAsia="仿宋"/>
          <w:sz w:val="32"/>
          <w:szCs w:val="32"/>
          <w:lang w:val="zh-CN"/>
        </w:rPr>
      </w:pPr>
      <w:r>
        <w:rPr>
          <w:rFonts w:hint="eastAsia" w:ascii="仿宋" w:hAnsi="仿宋" w:eastAsia="仿宋" w:cs="仿宋_GB2312"/>
          <w:kern w:val="0"/>
          <w:sz w:val="32"/>
          <w:szCs w:val="32"/>
          <w:lang w:val="zh-CN"/>
        </w:rPr>
        <w:t>为深入推进简政放权、放管结合、优化服务、强化政府权力运行监管，加强城镇污水处理费征收</w:t>
      </w:r>
      <w:r>
        <w:rPr>
          <w:rFonts w:hint="eastAsia" w:ascii="仿宋" w:hAnsi="仿宋" w:eastAsia="仿宋" w:cs="仿宋_GB2312"/>
          <w:kern w:val="0"/>
          <w:sz w:val="32"/>
          <w:szCs w:val="32"/>
          <w:lang w:val="zh-CN"/>
        </w:rPr>
        <w:t>事中事后监管，根据相关法律法规和《安徽省住房和城乡建设厅行政权力运行监管细则》，结合城镇污水处理费征收工作实际，制</w:t>
      </w:r>
      <w:r>
        <w:rPr>
          <w:rFonts w:hint="eastAsia" w:ascii="仿宋" w:hAnsi="仿宋" w:eastAsia="仿宋"/>
          <w:sz w:val="32"/>
          <w:szCs w:val="32"/>
          <w:lang w:val="zh-CN"/>
        </w:rPr>
        <w:t>定本监管细则。</w:t>
      </w:r>
    </w:p>
    <w:p>
      <w:pPr>
        <w:autoSpaceDE w:val="0"/>
        <w:autoSpaceDN w:val="0"/>
        <w:adjustRightInd w:val="0"/>
        <w:spacing w:line="560" w:lineRule="exact"/>
        <w:ind w:firstLine="640" w:firstLineChars="200"/>
        <w:rPr>
          <w:rFonts w:ascii="仿宋" w:hAnsi="仿宋" w:eastAsia="仿宋" w:cs="仿宋_GB2312"/>
          <w:kern w:val="0"/>
          <w:sz w:val="32"/>
          <w:szCs w:val="32"/>
          <w:lang w:val="zh-CN"/>
        </w:rPr>
      </w:pPr>
      <w:r>
        <w:rPr>
          <w:rFonts w:hint="eastAsia" w:ascii="仿宋" w:hAnsi="仿宋" w:eastAsia="仿宋"/>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w:t>
      </w:r>
      <w:r>
        <w:rPr>
          <w:rFonts w:ascii="仿宋_GB2312" w:hAnsi="仿宋" w:eastAsia="仿宋_GB2312" w:cs="仿宋_GB2312"/>
          <w:sz w:val="32"/>
          <w:szCs w:val="32"/>
          <w:lang w:val="zh-CN"/>
        </w:rPr>
        <w:t>政府</w:t>
      </w:r>
      <w:r>
        <w:rPr>
          <w:rFonts w:hint="eastAsia" w:ascii="仿宋_GB2312" w:hAnsi="仿宋" w:eastAsia="仿宋_GB2312" w:cs="仿宋_GB2312"/>
          <w:sz w:val="32"/>
          <w:szCs w:val="32"/>
          <w:lang w:val="zh-CN"/>
        </w:rPr>
        <w:t>县级</w:t>
      </w:r>
      <w:r>
        <w:rPr>
          <w:rFonts w:ascii="仿宋_GB2312" w:hAnsi="仿宋" w:eastAsia="仿宋_GB2312" w:cs="仿宋_GB2312"/>
          <w:sz w:val="32"/>
          <w:szCs w:val="32"/>
          <w:lang w:val="zh-CN"/>
        </w:rPr>
        <w:t>权责清单（20</w:t>
      </w:r>
      <w:r>
        <w:rPr>
          <w:rFonts w:hint="eastAsia" w:ascii="仿宋_GB2312" w:hAnsi="仿宋" w:eastAsia="仿宋_GB2312" w:cs="仿宋_GB2312"/>
          <w:sz w:val="32"/>
          <w:szCs w:val="32"/>
          <w:lang w:val="en-US" w:eastAsia="zh-CN"/>
        </w:rPr>
        <w:t>23</w:t>
      </w:r>
      <w:r>
        <w:rPr>
          <w:rFonts w:hint="eastAsia" w:ascii="仿宋_GB2312" w:hAnsi="仿宋" w:eastAsia="仿宋_GB2312" w:cs="仿宋_GB2312"/>
          <w:sz w:val="32"/>
          <w:szCs w:val="32"/>
          <w:lang w:val="zh-CN"/>
        </w:rPr>
        <w:t>版</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w:t>
      </w:r>
      <w:bookmarkStart w:id="0" w:name="_GoBack"/>
      <w:bookmarkEnd w:id="0"/>
      <w:r>
        <w:rPr>
          <w:rFonts w:hint="eastAsia" w:ascii="仿宋" w:hAnsi="仿宋" w:eastAsia="仿宋"/>
          <w:sz w:val="32"/>
          <w:szCs w:val="32"/>
          <w:lang w:eastAsia="zh-CN"/>
        </w:rPr>
        <w:t>单</w:t>
      </w:r>
      <w:r>
        <w:rPr>
          <w:rFonts w:hint="eastAsia" w:ascii="仿宋" w:hAnsi="仿宋" w:eastAsia="仿宋"/>
          <w:sz w:val="32"/>
          <w:szCs w:val="32"/>
        </w:rPr>
        <w:t>第</w:t>
      </w:r>
      <w:r>
        <w:rPr>
          <w:rFonts w:hint="eastAsia" w:ascii="仿宋" w:hAnsi="仿宋" w:eastAsia="仿宋"/>
          <w:sz w:val="32"/>
          <w:szCs w:val="32"/>
          <w:lang w:val="en-US" w:eastAsia="zh-CN"/>
        </w:rPr>
        <w:t>20</w:t>
      </w:r>
      <w:r>
        <w:rPr>
          <w:rFonts w:hint="eastAsia" w:ascii="仿宋" w:hAnsi="仿宋" w:eastAsia="仿宋"/>
          <w:sz w:val="32"/>
          <w:szCs w:val="32"/>
        </w:rPr>
        <w:t>项，</w:t>
      </w:r>
      <w:r>
        <w:rPr>
          <w:rFonts w:hint="eastAsia" w:ascii="仿宋" w:hAnsi="仿宋" w:eastAsia="仿宋" w:cs="宋体"/>
          <w:kern w:val="0"/>
          <w:sz w:val="32"/>
          <w:szCs w:val="32"/>
        </w:rPr>
        <w:t>权力类型：行政征收，项目名称为</w:t>
      </w:r>
      <w:r>
        <w:rPr>
          <w:rFonts w:hint="eastAsia" w:ascii="仿宋" w:hAnsi="仿宋" w:eastAsia="仿宋" w:cs="仿宋_GB2312"/>
          <w:kern w:val="0"/>
          <w:sz w:val="32"/>
          <w:szCs w:val="32"/>
          <w:lang w:val="zh-CN"/>
        </w:rPr>
        <w:t>：城镇污水处理费征收。</w:t>
      </w:r>
    </w:p>
    <w:p>
      <w:pPr>
        <w:pStyle w:val="4"/>
        <w:spacing w:line="560" w:lineRule="exact"/>
        <w:ind w:left="630" w:firstLine="0" w:firstLineChars="0"/>
        <w:rPr>
          <w:rFonts w:hint="eastAsia" w:ascii="黑体" w:hAnsi="黑体" w:eastAsia="黑体" w:cs="黑体"/>
          <w:b/>
          <w:bCs/>
          <w:kern w:val="0"/>
          <w:sz w:val="32"/>
          <w:szCs w:val="32"/>
        </w:rPr>
      </w:pPr>
      <w:r>
        <w:rPr>
          <w:rFonts w:hint="eastAsia" w:ascii="黑体" w:hAnsi="黑体" w:eastAsia="黑体" w:cs="黑体"/>
          <w:b/>
          <w:bCs/>
          <w:kern w:val="0"/>
          <w:sz w:val="32"/>
          <w:szCs w:val="32"/>
        </w:rPr>
        <w:t>一、监管任务</w:t>
      </w:r>
    </w:p>
    <w:p>
      <w:pPr>
        <w:autoSpaceDE w:val="0"/>
        <w:autoSpaceDN w:val="0"/>
        <w:adjustRightInd w:val="0"/>
        <w:spacing w:line="560" w:lineRule="exact"/>
        <w:ind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根据《</w:t>
      </w:r>
      <w:r>
        <w:rPr>
          <w:rFonts w:hint="eastAsia" w:ascii="仿宋" w:hAnsi="仿宋" w:eastAsia="仿宋" w:cs="仿宋_GB2312"/>
          <w:kern w:val="0"/>
          <w:sz w:val="32"/>
          <w:szCs w:val="32"/>
          <w:lang w:val="zh-CN" w:eastAsia="zh-CN"/>
        </w:rPr>
        <w:t>祁门县县</w:t>
      </w:r>
      <w:r>
        <w:rPr>
          <w:rFonts w:hint="eastAsia" w:ascii="仿宋" w:hAnsi="仿宋" w:eastAsia="仿宋" w:cs="仿宋_GB2312"/>
          <w:kern w:val="0"/>
          <w:sz w:val="32"/>
          <w:szCs w:val="32"/>
          <w:lang w:val="zh-CN"/>
        </w:rPr>
        <w:t>级政府权责清单（</w:t>
      </w:r>
      <w:r>
        <w:rPr>
          <w:rFonts w:hint="eastAsia" w:ascii="仿宋" w:hAnsi="仿宋" w:eastAsia="仿宋" w:cs="仿宋_GB2312"/>
          <w:kern w:val="0"/>
          <w:sz w:val="32"/>
          <w:szCs w:val="32"/>
          <w:lang w:val="en-US" w:eastAsia="zh-CN"/>
        </w:rPr>
        <w:t>2023</w:t>
      </w:r>
      <w:r>
        <w:rPr>
          <w:rFonts w:hint="eastAsia" w:ascii="仿宋" w:hAnsi="仿宋" w:eastAsia="仿宋" w:cs="仿宋_GB2312"/>
          <w:kern w:val="0"/>
          <w:sz w:val="32"/>
          <w:szCs w:val="32"/>
          <w:lang w:val="zh-CN"/>
        </w:rPr>
        <w:t>年</w:t>
      </w:r>
      <w:r>
        <w:rPr>
          <w:rFonts w:hint="eastAsia" w:ascii="仿宋" w:hAnsi="仿宋" w:eastAsia="仿宋" w:cs="仿宋_GB2312"/>
          <w:kern w:val="0"/>
          <w:sz w:val="32"/>
          <w:szCs w:val="32"/>
          <w:lang w:val="zh-CN" w:eastAsia="zh-CN"/>
        </w:rPr>
        <w:t>版</w:t>
      </w:r>
      <w:r>
        <w:rPr>
          <w:rFonts w:hint="eastAsia" w:ascii="仿宋" w:hAnsi="仿宋" w:eastAsia="仿宋" w:cs="仿宋_GB2312"/>
          <w:kern w:val="0"/>
          <w:sz w:val="32"/>
          <w:szCs w:val="32"/>
          <w:lang w:val="zh-CN"/>
        </w:rPr>
        <w:t>）》祁门县</w:t>
      </w:r>
      <w:r>
        <w:rPr>
          <w:rFonts w:hint="eastAsia" w:ascii="仿宋" w:hAnsi="仿宋" w:eastAsia="仿宋"/>
          <w:sz w:val="32"/>
          <w:szCs w:val="32"/>
        </w:rPr>
        <w:t>住房和城乡建设局</w:t>
      </w:r>
      <w:r>
        <w:rPr>
          <w:rFonts w:hint="eastAsia" w:ascii="仿宋" w:hAnsi="仿宋" w:eastAsia="仿宋" w:cs="仿宋_GB2312"/>
          <w:kern w:val="0"/>
          <w:sz w:val="32"/>
          <w:szCs w:val="32"/>
          <w:lang w:val="zh-CN"/>
        </w:rPr>
        <w:t>，县住建局城建股负责污水处理费征收工作，县自来水公司受县住建局城建股委托负责使用公共供水的排污者的污水处理费征收工作。</w:t>
      </w:r>
    </w:p>
    <w:p>
      <w:pPr>
        <w:pStyle w:val="4"/>
        <w:spacing w:line="560" w:lineRule="exact"/>
        <w:ind w:left="630" w:firstLine="0" w:firstLineChars="0"/>
        <w:rPr>
          <w:rFonts w:hint="eastAsia" w:ascii="黑体" w:hAnsi="黑体" w:eastAsia="黑体" w:cs="黑体"/>
          <w:b/>
          <w:bCs/>
          <w:kern w:val="0"/>
          <w:sz w:val="32"/>
          <w:szCs w:val="32"/>
        </w:rPr>
      </w:pPr>
      <w:r>
        <w:rPr>
          <w:rFonts w:hint="eastAsia" w:ascii="黑体" w:hAnsi="黑体" w:eastAsia="黑体" w:cs="黑体"/>
          <w:b/>
          <w:bCs/>
          <w:kern w:val="0"/>
          <w:sz w:val="32"/>
          <w:szCs w:val="32"/>
        </w:rPr>
        <w:t>二、事中监管</w:t>
      </w:r>
    </w:p>
    <w:p>
      <w:pPr>
        <w:autoSpaceDE w:val="0"/>
        <w:autoSpaceDN w:val="0"/>
        <w:adjustRightInd w:val="0"/>
        <w:spacing w:line="560" w:lineRule="exact"/>
        <w:ind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 xml:space="preserve">（一）核定污水排放量。使用公共供水的单位或个人，其用水量以水表显示的量值为准。 </w:t>
      </w:r>
    </w:p>
    <w:p>
      <w:pPr>
        <w:autoSpaceDE w:val="0"/>
        <w:autoSpaceDN w:val="0"/>
        <w:adjustRightInd w:val="0"/>
        <w:spacing w:line="560" w:lineRule="exact"/>
        <w:ind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（二）确定用水户应当缴纳的污水处理费数额。根据核定的污水排放量，按照县物价局《关于调整中心城区自来水价格和污水处理费的批复》规定，计算确定用水单位或个人应缴纳的污水处理费数额。</w:t>
      </w:r>
    </w:p>
    <w:p>
      <w:pPr>
        <w:autoSpaceDE w:val="0"/>
        <w:autoSpaceDN w:val="0"/>
        <w:adjustRightInd w:val="0"/>
        <w:spacing w:line="560" w:lineRule="exact"/>
        <w:ind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三）污水处理费的征收入库。使用公共供水的用水户，其污水处理费由县自来水公司在收取水费时一并代征，并在发票中单独列明污水处理费的缴款数额。县自来水公司代征的污水处理费与其水费收入应当分账核实，并及时足额上缴代征的污水处理费，由县住建局城建股核对，及时征缴入库。</w:t>
      </w:r>
    </w:p>
    <w:p>
      <w:pPr>
        <w:pStyle w:val="4"/>
        <w:spacing w:line="560" w:lineRule="exact"/>
        <w:ind w:left="630" w:firstLine="0" w:firstLineChars="0"/>
        <w:rPr>
          <w:rFonts w:hint="eastAsia" w:ascii="黑体" w:hAnsi="黑体" w:eastAsia="黑体" w:cs="黑体"/>
          <w:b/>
          <w:bCs/>
          <w:kern w:val="0"/>
          <w:sz w:val="32"/>
          <w:szCs w:val="32"/>
        </w:rPr>
      </w:pPr>
      <w:r>
        <w:rPr>
          <w:rFonts w:hint="eastAsia" w:ascii="黑体" w:hAnsi="黑体" w:eastAsia="黑体" w:cs="黑体"/>
          <w:b/>
          <w:bCs/>
          <w:kern w:val="0"/>
          <w:sz w:val="32"/>
          <w:szCs w:val="32"/>
        </w:rPr>
        <w:t>三、事后监督</w:t>
      </w:r>
    </w:p>
    <w:p>
      <w:pPr>
        <w:autoSpaceDE w:val="0"/>
        <w:autoSpaceDN w:val="0"/>
        <w:adjustRightInd w:val="0"/>
        <w:spacing w:line="560" w:lineRule="exact"/>
        <w:ind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县自来水公司负责按按期向县住建局城建股申报售水量和代征的污水处理费数额。县住建局城建股应当核实县自来水公司全年实际售水量，在次年3月底前完成对县自来水公司全年应缴污水处理费的汇缴清算工作。</w:t>
      </w:r>
    </w:p>
    <w:p>
      <w:pPr>
        <w:autoSpaceDE w:val="0"/>
        <w:autoSpaceDN w:val="0"/>
        <w:adjustRightInd w:val="0"/>
        <w:spacing w:line="560" w:lineRule="exact"/>
        <w:ind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个人或组织发现申请人（单位）在污水处理费征收过程中有违法行为的，有权向祁门县住建局城建股举报（举报地址：祁门县住建局，举报电话：</w:t>
      </w:r>
      <w:r>
        <w:rPr>
          <w:rFonts w:hint="eastAsia" w:ascii="仿宋" w:hAnsi="仿宋" w:eastAsia="仿宋"/>
          <w:sz w:val="32"/>
          <w:szCs w:val="32"/>
        </w:rPr>
        <w:t>0559-</w:t>
      </w:r>
      <w:r>
        <w:rPr>
          <w:rFonts w:hint="eastAsia" w:ascii="仿宋" w:hAnsi="仿宋" w:eastAsia="仿宋"/>
          <w:sz w:val="32"/>
          <w:szCs w:val="32"/>
          <w:lang w:val="en-US" w:eastAsia="zh-CN"/>
        </w:rPr>
        <w:t>4505663</w:t>
      </w:r>
      <w:r>
        <w:rPr>
          <w:rFonts w:hint="eastAsia" w:ascii="仿宋" w:hAnsi="仿宋" w:eastAsia="仿宋" w:cs="仿宋_GB2312"/>
          <w:kern w:val="0"/>
          <w:sz w:val="32"/>
          <w:szCs w:val="32"/>
          <w:lang w:val="zh-CN"/>
        </w:rPr>
        <w:t>）。属于职权范围的，祁门县住建局城建股应当及时核实、处理；不属于职权范围的，应当移交相关部门，并通知投诉、举报人；依法为投诉、举报人保密。</w:t>
      </w:r>
    </w:p>
    <w:p>
      <w:pPr>
        <w:pStyle w:val="4"/>
        <w:spacing w:line="560" w:lineRule="exact"/>
        <w:ind w:left="630" w:firstLine="0" w:firstLineChars="0"/>
        <w:rPr>
          <w:rFonts w:hint="eastAsia" w:ascii="黑体" w:hAnsi="黑体" w:eastAsia="黑体" w:cs="黑体"/>
          <w:b/>
          <w:bCs/>
          <w:kern w:val="0"/>
          <w:sz w:val="32"/>
          <w:szCs w:val="32"/>
        </w:rPr>
      </w:pPr>
      <w:r>
        <w:rPr>
          <w:rFonts w:hint="eastAsia" w:ascii="黑体" w:hAnsi="黑体" w:eastAsia="黑体" w:cs="黑体"/>
          <w:b/>
          <w:bCs/>
          <w:kern w:val="0"/>
          <w:sz w:val="32"/>
          <w:szCs w:val="32"/>
        </w:rPr>
        <w:t>四、责任追究</w:t>
      </w:r>
    </w:p>
    <w:p>
      <w:pPr>
        <w:autoSpaceDE w:val="0"/>
        <w:autoSpaceDN w:val="0"/>
        <w:adjustRightInd w:val="0"/>
        <w:spacing w:line="560" w:lineRule="exact"/>
        <w:ind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1.县住建局城建股对县自来水公司是否严格按照规定的范围、标准和时限要求征收或者代征污水处理费进行监管，确保污水处理费征缴到位。</w:t>
      </w:r>
    </w:p>
    <w:p>
      <w:pPr>
        <w:autoSpaceDE w:val="0"/>
        <w:autoSpaceDN w:val="0"/>
        <w:adjustRightInd w:val="0"/>
        <w:spacing w:line="560" w:lineRule="exact"/>
        <w:ind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2.污水处理费征收、使用管理有关部门的工作人员违反规定，在污水处理费征收和使用管理工作中徇私舞弊、玩忽职守、滥用职权的，依法给予处分；涉嫌犯罪的，依法移送司法机关。</w:t>
      </w:r>
    </w:p>
    <w:p>
      <w:pPr>
        <w:autoSpaceDE w:val="0"/>
        <w:autoSpaceDN w:val="0"/>
        <w:adjustRightInd w:val="0"/>
        <w:spacing w:line="560" w:lineRule="exact"/>
        <w:ind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3.单位和个人违反本办法规定，有下列情形之一的，依照《财政违法行为处罚处分条例》和《违反行政事业性收费和罚没收入收支两条线管理规定行政处分暂行规定》等国家有关规定追究法律责任；涉犯罪的，依法移送司法机关处理：</w:t>
      </w:r>
    </w:p>
    <w:p>
      <w:pPr>
        <w:autoSpaceDE w:val="0"/>
        <w:autoSpaceDN w:val="0"/>
        <w:adjustRightInd w:val="0"/>
        <w:spacing w:line="560" w:lineRule="exact"/>
        <w:ind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（一）擅自减免污水处理费或者改变污水处理费征收范围、对象和标准的；</w:t>
      </w:r>
    </w:p>
    <w:p>
      <w:pPr>
        <w:autoSpaceDE w:val="0"/>
        <w:autoSpaceDN w:val="0"/>
        <w:adjustRightInd w:val="0"/>
        <w:spacing w:line="560" w:lineRule="exact"/>
        <w:ind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（二）隐瞒、坐支应当上缴的污水处理费的；</w:t>
      </w:r>
    </w:p>
    <w:p>
      <w:pPr>
        <w:autoSpaceDE w:val="0"/>
        <w:autoSpaceDN w:val="0"/>
        <w:adjustRightInd w:val="0"/>
        <w:spacing w:line="560" w:lineRule="exact"/>
        <w:ind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（三）滞留、截留、挪用应当上缴的污水处理费的；</w:t>
      </w:r>
    </w:p>
    <w:p>
      <w:pPr>
        <w:autoSpaceDE w:val="0"/>
        <w:autoSpaceDN w:val="0"/>
        <w:adjustRightInd w:val="0"/>
        <w:spacing w:line="560" w:lineRule="exact"/>
        <w:ind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（四）不按照规定的预算级次、预算科目将污水处理费缴入国库的；</w:t>
      </w:r>
    </w:p>
    <w:p>
      <w:pPr>
        <w:autoSpaceDE w:val="0"/>
        <w:autoSpaceDN w:val="0"/>
        <w:adjustRightInd w:val="0"/>
        <w:spacing w:line="560" w:lineRule="exact"/>
        <w:ind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（五）违反规定扩大污水处理费开支范围、提高开支标准的；</w:t>
      </w:r>
    </w:p>
    <w:p>
      <w:pPr>
        <w:autoSpaceDE w:val="0"/>
        <w:autoSpaceDN w:val="0"/>
        <w:adjustRightInd w:val="0"/>
        <w:spacing w:line="560" w:lineRule="exact"/>
        <w:ind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（六）其他违反国家财政收入管理规定的行为。</w:t>
      </w:r>
    </w:p>
    <w:p>
      <w:pPr>
        <w:autoSpaceDE w:val="0"/>
        <w:autoSpaceDN w:val="0"/>
        <w:adjustRightInd w:val="0"/>
        <w:spacing w:line="560" w:lineRule="exact"/>
        <w:ind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 xml:space="preserve"> 4、举报途径。凡发现单位或个人有上述违法行为的，可向祁门县住房和城乡建设局进行电话举报或来信举报。举报电话：</w:t>
      </w:r>
      <w:r>
        <w:rPr>
          <w:rFonts w:hint="eastAsia" w:ascii="仿宋" w:hAnsi="仿宋" w:eastAsia="仿宋"/>
          <w:sz w:val="32"/>
          <w:szCs w:val="32"/>
        </w:rPr>
        <w:t>0559-</w:t>
      </w:r>
      <w:r>
        <w:rPr>
          <w:rFonts w:hint="eastAsia" w:ascii="仿宋" w:hAnsi="仿宋" w:eastAsia="仿宋"/>
          <w:sz w:val="32"/>
          <w:szCs w:val="32"/>
          <w:lang w:val="en-US" w:eastAsia="zh-CN"/>
        </w:rPr>
        <w:t>4512045</w:t>
      </w:r>
      <w:r>
        <w:rPr>
          <w:rFonts w:hint="eastAsia" w:ascii="仿宋" w:hAnsi="仿宋" w:eastAsia="仿宋" w:cs="仿宋_GB2312"/>
          <w:kern w:val="0"/>
          <w:sz w:val="32"/>
          <w:szCs w:val="32"/>
          <w:lang w:val="zh-CN"/>
        </w:rPr>
        <w:t>。来信地址：祁门县住建局。</w:t>
      </w:r>
    </w:p>
    <w:p>
      <w:pPr>
        <w:pStyle w:val="4"/>
        <w:spacing w:line="560" w:lineRule="exact"/>
        <w:ind w:left="630" w:firstLine="0" w:firstLineChars="0"/>
        <w:rPr>
          <w:rFonts w:hint="eastAsia" w:ascii="黑体" w:hAnsi="黑体" w:eastAsia="黑体" w:cs="黑体"/>
          <w:b/>
          <w:bCs/>
          <w:kern w:val="0"/>
          <w:sz w:val="32"/>
          <w:szCs w:val="32"/>
        </w:rPr>
      </w:pPr>
      <w:r>
        <w:rPr>
          <w:rFonts w:hint="eastAsia" w:ascii="黑体" w:hAnsi="黑体" w:eastAsia="黑体" w:cs="黑体"/>
          <w:b/>
          <w:bCs/>
          <w:kern w:val="0"/>
          <w:sz w:val="32"/>
          <w:szCs w:val="32"/>
        </w:rPr>
        <w:t>五、保障措施</w:t>
      </w:r>
    </w:p>
    <w:p>
      <w:pPr>
        <w:autoSpaceDE w:val="0"/>
        <w:autoSpaceDN w:val="0"/>
        <w:adjustRightInd w:val="0"/>
        <w:spacing w:line="560" w:lineRule="exact"/>
        <w:ind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县住建局城建股要高度重视污水处理费征收监管工作，按照简政放权、放管结合、转变职能的要求，强化组织领导，完善监管办法，落实保障措施，畅通举报渠道，严肃查处问题，确保事中事后监管工作有序推进。</w:t>
      </w:r>
    </w:p>
    <w:p>
      <w:pPr>
        <w:pStyle w:val="4"/>
        <w:spacing w:line="560" w:lineRule="exact"/>
        <w:ind w:left="630" w:firstLine="0" w:firstLineChars="0"/>
        <w:rPr>
          <w:rFonts w:ascii="仿宋" w:hAnsi="仿宋" w:eastAsia="仿宋" w:cs="仿宋_GB2312"/>
          <w:kern w:val="0"/>
          <w:sz w:val="32"/>
          <w:szCs w:val="32"/>
          <w:lang w:val="zh-CN"/>
        </w:rPr>
      </w:pPr>
      <w:r>
        <w:rPr>
          <w:rFonts w:hint="eastAsia" w:ascii="黑体" w:hAnsi="黑体" w:eastAsia="黑体" w:cs="黑体"/>
          <w:b/>
          <w:bCs/>
          <w:kern w:val="0"/>
          <w:sz w:val="32"/>
          <w:szCs w:val="32"/>
        </w:rPr>
        <w:t>六、主要依据</w:t>
      </w:r>
    </w:p>
    <w:p>
      <w:pPr>
        <w:autoSpaceDE w:val="0"/>
        <w:autoSpaceDN w:val="0"/>
        <w:adjustRightInd w:val="0"/>
        <w:spacing w:line="560" w:lineRule="exact"/>
        <w:ind w:firstLine="640" w:firstLineChars="200"/>
        <w:rPr>
          <w:rFonts w:hint="eastAsia" w:ascii="仿宋" w:hAnsi="仿宋" w:eastAsia="仿宋" w:cs="仿宋_GB2312"/>
          <w:kern w:val="0"/>
          <w:sz w:val="32"/>
          <w:szCs w:val="32"/>
          <w:lang w:val="zh-CN"/>
        </w:rPr>
      </w:pPr>
      <w:r>
        <w:rPr>
          <w:rFonts w:hint="eastAsia" w:ascii="仿宋" w:hAnsi="仿宋" w:eastAsia="仿宋" w:cs="仿宋_GB2312"/>
          <w:kern w:val="0"/>
          <w:sz w:val="32"/>
          <w:szCs w:val="32"/>
          <w:lang w:val="zh-CN"/>
        </w:rPr>
        <w:t>《城镇排水与污水处理条例》第三十二条第一款</w:t>
      </w:r>
    </w:p>
    <w:p>
      <w:pPr>
        <w:autoSpaceDE w:val="0"/>
        <w:autoSpaceDN w:val="0"/>
        <w:adjustRightInd w:val="0"/>
        <w:spacing w:line="560" w:lineRule="exact"/>
        <w:ind w:firstLine="640" w:firstLineChars="200"/>
        <w:rPr>
          <w:rFonts w:hint="eastAsia" w:ascii="仿宋" w:hAnsi="仿宋" w:eastAsia="仿宋" w:cs="仿宋_GB2312"/>
          <w:kern w:val="0"/>
          <w:sz w:val="32"/>
          <w:szCs w:val="32"/>
          <w:lang w:val="zh-CN"/>
        </w:rPr>
      </w:pPr>
      <w:r>
        <w:rPr>
          <w:rFonts w:hint="eastAsia" w:ascii="仿宋" w:hAnsi="仿宋" w:eastAsia="仿宋" w:cs="仿宋_GB2312"/>
          <w:kern w:val="0"/>
          <w:sz w:val="32"/>
          <w:szCs w:val="32"/>
          <w:lang w:val="zh-CN"/>
        </w:rPr>
        <w:t>《安徽省城市污水处理费管理暂行办法》第五条</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4F5E10EF"/>
    <w:rsid w:val="37E503FD"/>
    <w:rsid w:val="3EAA61FE"/>
    <w:rsid w:val="46FC2E01"/>
    <w:rsid w:val="4F5E10EF"/>
    <w:rsid w:val="71D14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paragraph" w:customStyle="1" w:styleId="4">
    <w:name w:val="列出段落1"/>
    <w:basedOn w:val="1"/>
    <w:autoRedefine/>
    <w:qFormat/>
    <w:uiPriority w:val="0"/>
    <w:pPr>
      <w:ind w:firstLine="420" w:firstLineChars="200"/>
    </w:pPr>
    <w:rPr>
      <w:rFonts w:ascii="Calibri" w:hAnsi="Calibri" w:cs="Calibri"/>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2024-01-18T03:24:00Z</dcterms:created>
  <dc:creator>沉默的小布芬</dc:creator>
  <cp:lastModifiedBy>沉默的小布芬</cp:lastModifiedBy>
  <dcterms:modified xsi:type="dcterms:W3CDTF">2024-01-22T08:43:24Z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7D4BE9BB2CD24FA4B322C9273DAFF937_11</vt:lpwstr>
  </property>
</Properties>
</file>